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3" w:firstLineChars="200"/>
        <w:jc w:val="center"/>
        <w:rPr>
          <w:rFonts w:ascii="方正黑体_GBK" w:hAnsi="华文中宋" w:eastAsia="方正黑体_GBK" w:cs="华文中宋"/>
          <w:b/>
          <w:bCs/>
          <w:kern w:val="0"/>
          <w:sz w:val="36"/>
          <w:szCs w:val="36"/>
        </w:rPr>
      </w:pPr>
    </w:p>
    <w:p>
      <w:pPr>
        <w:pStyle w:val="48"/>
        <w:spacing w:line="570" w:lineRule="exact"/>
        <w:ind w:firstLine="723"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hint="eastAsia" w:ascii="仿宋_GB2312" w:hAnsi="仿宋_GB2312" w:eastAsia="仿宋_GB2312" w:cs="仿宋_GB2312"/>
          <w:kern w:val="0"/>
          <w:sz w:val="36"/>
          <w:szCs w:val="36"/>
          <w:lang w:val="zh-TW" w:eastAsia="zh-TW"/>
        </w:rPr>
        <w:t>（</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hint="eastAsia" w:ascii="仿宋_GB2312" w:hAnsi="仿宋_GB2312" w:eastAsia="仿宋_GB2312" w:cs="仿宋_GB2312"/>
          <w:kern w:val="0"/>
          <w:sz w:val="36"/>
          <w:szCs w:val="36"/>
          <w:lang w:val="zh-TW" w:eastAsia="zh-TW"/>
        </w:rPr>
        <w:t>项目名称</w:t>
      </w:r>
      <w:r>
        <w:rPr>
          <w:rFonts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萨罕乡人民政府</w:t>
      </w:r>
    </w:p>
    <w:p>
      <w:pPr>
        <w:pStyle w:val="48"/>
        <w:spacing w:line="570" w:lineRule="exact"/>
        <w:ind w:firstLine="720" w:firstLineChars="200"/>
        <w:jc w:val="left"/>
        <w:rPr>
          <w:kern w:val="0"/>
          <w:sz w:val="36"/>
          <w:szCs w:val="36"/>
          <w:lang w:val="zh-TW" w:eastAsia="zh-TW"/>
        </w:rPr>
      </w:pPr>
      <w:r>
        <w:rPr>
          <w:rFonts w:hint="eastAsia"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英吉沙县林业局</w:t>
      </w:r>
    </w:p>
    <w:p>
      <w:pPr>
        <w:pStyle w:val="48"/>
        <w:spacing w:line="570" w:lineRule="exact"/>
        <w:ind w:firstLine="720" w:firstLineChars="200"/>
        <w:jc w:val="left"/>
        <w:rPr>
          <w:rFonts w:eastAsia="仿宋_GB2312"/>
          <w:kern w:val="0"/>
          <w:sz w:val="36"/>
          <w:szCs w:val="36"/>
        </w:rPr>
      </w:pPr>
      <w:r>
        <w:rPr>
          <w:rFonts w:hint="eastAsia"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eastAsia="zh-TW"/>
        </w:rPr>
        <w:t>填报时间：</w:t>
      </w:r>
      <w:r>
        <w:rPr>
          <w:rFonts w:ascii="仿宋_GB2312" w:hAnsi="仿宋_GB2312" w:eastAsia="仿宋_GB2312" w:cs="仿宋_GB2312"/>
          <w:kern w:val="0"/>
          <w:sz w:val="36"/>
          <w:szCs w:val="36"/>
          <w:lang w:val="zh-TW" w:eastAsia="zh-TW"/>
        </w:rPr>
        <w:t>201</w:t>
      </w:r>
      <w:r>
        <w:rPr>
          <w:rFonts w:ascii="仿宋_GB2312" w:hAnsi="仿宋_GB2312" w:eastAsia="仿宋_GB2312" w:cs="仿宋_GB2312"/>
          <w:kern w:val="0"/>
          <w:sz w:val="36"/>
          <w:szCs w:val="36"/>
          <w:lang w:val="zh-TW"/>
        </w:rPr>
        <w:t>9</w:t>
      </w:r>
      <w:r>
        <w:rPr>
          <w:rFonts w:hint="eastAsia" w:ascii="仿宋_GB2312" w:hAnsi="仿宋_GB2312" w:eastAsia="仿宋_GB2312" w:cs="仿宋_GB2312"/>
          <w:kern w:val="0"/>
          <w:sz w:val="36"/>
          <w:szCs w:val="36"/>
          <w:lang w:val="zh-TW" w:eastAsia="zh-TW"/>
        </w:rPr>
        <w:t>年</w:t>
      </w:r>
      <w:r>
        <w:rPr>
          <w:rFonts w:ascii="仿宋_GB2312" w:hAnsi="仿宋_GB2312" w:eastAsia="仿宋_GB2312" w:cs="仿宋_GB2312"/>
          <w:kern w:val="0"/>
          <w:sz w:val="36"/>
          <w:szCs w:val="36"/>
          <w:lang w:val="zh-TW"/>
        </w:rPr>
        <w:t>8</w:t>
      </w:r>
      <w:r>
        <w:rPr>
          <w:rFonts w:hint="eastAsia" w:ascii="仿宋_GB2312" w:hAnsi="仿宋_GB2312" w:eastAsia="仿宋_GB2312" w:cs="仿宋_GB2312"/>
          <w:kern w:val="0"/>
          <w:sz w:val="36"/>
          <w:szCs w:val="36"/>
          <w:lang w:val="zh-TW" w:eastAsia="zh-TW"/>
        </w:rPr>
        <w:t>月</w:t>
      </w:r>
      <w:r>
        <w:rPr>
          <w:rFonts w:ascii="仿宋_GB2312" w:hAnsi="仿宋_GB2312" w:eastAsia="仿宋_GB2312" w:cs="仿宋_GB2312"/>
          <w:kern w:val="0"/>
          <w:sz w:val="36"/>
          <w:szCs w:val="36"/>
        </w:rPr>
        <w:t>22</w:t>
      </w:r>
      <w:r>
        <w:rPr>
          <w:rFonts w:hint="eastAsia"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cs="Arial Unicode MS"/>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萨罕乡贫困村整治项目绩效自评报告</w:t>
      </w:r>
    </w:p>
    <w:p>
      <w:pPr>
        <w:pStyle w:val="48"/>
        <w:spacing w:line="700" w:lineRule="exact"/>
        <w:ind w:firstLine="624" w:firstLineChars="200"/>
        <w:jc w:val="left"/>
        <w:rPr>
          <w:rStyle w:val="18"/>
          <w:rFonts w:ascii="黑体" w:hAnsi="黑体" w:eastAsia="黑体" w:cs="Arial Unicode MS"/>
          <w:b w:val="0"/>
          <w:color w:val="auto"/>
          <w:spacing w:val="-4"/>
          <w:sz w:val="32"/>
          <w:szCs w:val="32"/>
        </w:rPr>
      </w:pPr>
      <w:r>
        <w:rPr>
          <w:rStyle w:val="18"/>
          <w:rFonts w:hint="eastAsia" w:ascii="黑体" w:hAnsi="黑体" w:eastAsia="黑体" w:cs="Arial Unicode MS"/>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 w:val="0"/>
          <w:spacing w:val="-4"/>
          <w:sz w:val="32"/>
          <w:szCs w:val="32"/>
        </w:rPr>
        <w:t>萨罕乡位于英吉沙县城东部，乡政府驻地距县城</w:t>
      </w:r>
      <w:r>
        <w:rPr>
          <w:rStyle w:val="18"/>
          <w:rFonts w:ascii="仿宋" w:hAnsi="仿宋" w:eastAsia="仿宋"/>
          <w:b w:val="0"/>
          <w:spacing w:val="-4"/>
          <w:sz w:val="32"/>
          <w:szCs w:val="32"/>
        </w:rPr>
        <w:t>13.7</w:t>
      </w:r>
      <w:r>
        <w:rPr>
          <w:rStyle w:val="18"/>
          <w:rFonts w:hint="eastAsia" w:ascii="仿宋" w:hAnsi="仿宋" w:eastAsia="仿宋"/>
          <w:b w:val="0"/>
          <w:spacing w:val="-4"/>
          <w:sz w:val="32"/>
          <w:szCs w:val="32"/>
        </w:rPr>
        <w:t>公里，辖区总面积</w:t>
      </w:r>
      <w:r>
        <w:rPr>
          <w:rStyle w:val="18"/>
          <w:rFonts w:ascii="仿宋" w:hAnsi="仿宋" w:eastAsia="仿宋"/>
          <w:b w:val="0"/>
          <w:spacing w:val="-4"/>
          <w:sz w:val="32"/>
          <w:szCs w:val="32"/>
        </w:rPr>
        <w:t>483</w:t>
      </w:r>
      <w:r>
        <w:rPr>
          <w:rStyle w:val="18"/>
          <w:rFonts w:hint="eastAsia" w:ascii="仿宋" w:hAnsi="仿宋" w:eastAsia="仿宋"/>
          <w:b w:val="0"/>
          <w:spacing w:val="-4"/>
          <w:sz w:val="32"/>
          <w:szCs w:val="32"/>
        </w:rPr>
        <w:t>平方公里（</w:t>
      </w:r>
      <w:r>
        <w:rPr>
          <w:rStyle w:val="18"/>
          <w:rFonts w:ascii="仿宋" w:hAnsi="仿宋" w:eastAsia="仿宋"/>
          <w:b w:val="0"/>
          <w:spacing w:val="-4"/>
          <w:sz w:val="32"/>
          <w:szCs w:val="32"/>
        </w:rPr>
        <w:t>72.46</w:t>
      </w:r>
      <w:r>
        <w:rPr>
          <w:rStyle w:val="18"/>
          <w:rFonts w:hint="eastAsia" w:ascii="仿宋" w:hAnsi="仿宋" w:eastAsia="仿宋"/>
          <w:b w:val="0"/>
          <w:spacing w:val="-4"/>
          <w:sz w:val="32"/>
          <w:szCs w:val="32"/>
        </w:rPr>
        <w:t>亩），耕地面积</w:t>
      </w:r>
      <w:r>
        <w:rPr>
          <w:rStyle w:val="18"/>
          <w:rFonts w:ascii="仿宋" w:hAnsi="仿宋" w:eastAsia="仿宋"/>
          <w:b w:val="0"/>
          <w:spacing w:val="-4"/>
          <w:sz w:val="32"/>
          <w:szCs w:val="32"/>
        </w:rPr>
        <w:t>4.7</w:t>
      </w:r>
      <w:r>
        <w:rPr>
          <w:rStyle w:val="18"/>
          <w:rFonts w:hint="eastAsia" w:ascii="仿宋" w:hAnsi="仿宋" w:eastAsia="仿宋"/>
          <w:b w:val="0"/>
          <w:spacing w:val="-4"/>
          <w:sz w:val="32"/>
          <w:szCs w:val="32"/>
        </w:rPr>
        <w:t>万亩。全乡辖</w:t>
      </w:r>
      <w:r>
        <w:rPr>
          <w:rStyle w:val="18"/>
          <w:rFonts w:ascii="仿宋" w:hAnsi="仿宋" w:eastAsia="仿宋"/>
          <w:b w:val="0"/>
          <w:spacing w:val="-4"/>
          <w:sz w:val="32"/>
          <w:szCs w:val="32"/>
        </w:rPr>
        <w:t>21</w:t>
      </w:r>
      <w:r>
        <w:rPr>
          <w:rStyle w:val="18"/>
          <w:rFonts w:hint="eastAsia" w:ascii="仿宋" w:hAnsi="仿宋" w:eastAsia="仿宋"/>
          <w:b w:val="0"/>
          <w:spacing w:val="-4"/>
          <w:sz w:val="32"/>
          <w:szCs w:val="32"/>
        </w:rPr>
        <w:t>个村，</w:t>
      </w:r>
      <w:r>
        <w:rPr>
          <w:rStyle w:val="18"/>
          <w:rFonts w:ascii="仿宋" w:hAnsi="仿宋" w:eastAsia="仿宋"/>
          <w:b w:val="0"/>
          <w:spacing w:val="-4"/>
          <w:sz w:val="32"/>
          <w:szCs w:val="32"/>
        </w:rPr>
        <w:t>101</w:t>
      </w:r>
      <w:r>
        <w:rPr>
          <w:rStyle w:val="18"/>
          <w:rFonts w:hint="eastAsia" w:ascii="仿宋" w:hAnsi="仿宋" w:eastAsia="仿宋"/>
          <w:b w:val="0"/>
          <w:spacing w:val="-4"/>
          <w:sz w:val="32"/>
          <w:szCs w:val="32"/>
        </w:rPr>
        <w:t>个村小组，总户数</w:t>
      </w:r>
      <w:r>
        <w:rPr>
          <w:rStyle w:val="18"/>
          <w:rFonts w:ascii="仿宋" w:hAnsi="仿宋" w:eastAsia="仿宋"/>
          <w:b w:val="0"/>
          <w:spacing w:val="-4"/>
          <w:sz w:val="32"/>
          <w:szCs w:val="32"/>
        </w:rPr>
        <w:t>6475</w:t>
      </w:r>
      <w:r>
        <w:rPr>
          <w:rStyle w:val="18"/>
          <w:rFonts w:hint="eastAsia" w:ascii="仿宋" w:hAnsi="仿宋" w:eastAsia="仿宋"/>
          <w:b w:val="0"/>
          <w:spacing w:val="-4"/>
          <w:sz w:val="32"/>
          <w:szCs w:val="32"/>
        </w:rPr>
        <w:t>户，共计</w:t>
      </w:r>
      <w:r>
        <w:rPr>
          <w:rStyle w:val="18"/>
          <w:rFonts w:ascii="仿宋" w:hAnsi="仿宋" w:eastAsia="仿宋"/>
          <w:b w:val="0"/>
          <w:spacing w:val="-4"/>
          <w:sz w:val="32"/>
          <w:szCs w:val="32"/>
        </w:rPr>
        <w:t>35176</w:t>
      </w:r>
      <w:r>
        <w:rPr>
          <w:rStyle w:val="18"/>
          <w:rFonts w:hint="eastAsia" w:ascii="仿宋" w:hAnsi="仿宋" w:eastAsia="仿宋"/>
          <w:b w:val="0"/>
          <w:spacing w:val="-4"/>
          <w:sz w:val="32"/>
          <w:szCs w:val="32"/>
        </w:rPr>
        <w:t>人。其中党组织</w:t>
      </w:r>
      <w:r>
        <w:rPr>
          <w:rStyle w:val="18"/>
          <w:rFonts w:ascii="仿宋" w:hAnsi="仿宋" w:eastAsia="仿宋"/>
          <w:b w:val="0"/>
          <w:spacing w:val="-4"/>
          <w:sz w:val="32"/>
          <w:szCs w:val="32"/>
        </w:rPr>
        <w:t>44</w:t>
      </w:r>
      <w:r>
        <w:rPr>
          <w:rStyle w:val="18"/>
          <w:rFonts w:hint="eastAsia" w:ascii="仿宋" w:hAnsi="仿宋" w:eastAsia="仿宋"/>
          <w:b w:val="0"/>
          <w:spacing w:val="-4"/>
          <w:sz w:val="32"/>
          <w:szCs w:val="32"/>
        </w:rPr>
        <w:t>个，其中</w:t>
      </w:r>
      <w:r>
        <w:rPr>
          <w:rStyle w:val="18"/>
          <w:rFonts w:ascii="仿宋" w:hAnsi="仿宋" w:eastAsia="仿宋"/>
          <w:b w:val="0"/>
          <w:spacing w:val="-4"/>
          <w:sz w:val="32"/>
          <w:szCs w:val="32"/>
        </w:rPr>
        <w:t>3</w:t>
      </w:r>
      <w:r>
        <w:rPr>
          <w:rStyle w:val="18"/>
          <w:rFonts w:hint="eastAsia" w:ascii="仿宋" w:hAnsi="仿宋" w:eastAsia="仿宋"/>
          <w:b w:val="0"/>
          <w:spacing w:val="-4"/>
          <w:sz w:val="32"/>
          <w:szCs w:val="32"/>
        </w:rPr>
        <w:t>个党总支，</w:t>
      </w:r>
      <w:r>
        <w:rPr>
          <w:rStyle w:val="18"/>
          <w:rFonts w:ascii="仿宋" w:hAnsi="仿宋" w:eastAsia="仿宋"/>
          <w:b w:val="0"/>
          <w:spacing w:val="-4"/>
          <w:sz w:val="32"/>
          <w:szCs w:val="32"/>
        </w:rPr>
        <w:t>41</w:t>
      </w:r>
      <w:r>
        <w:rPr>
          <w:rStyle w:val="18"/>
          <w:rFonts w:hint="eastAsia" w:ascii="仿宋" w:hAnsi="仿宋" w:eastAsia="仿宋"/>
          <w:b w:val="0"/>
          <w:spacing w:val="-4"/>
          <w:sz w:val="32"/>
          <w:szCs w:val="32"/>
        </w:rPr>
        <w:t>个党支部。人口组成主要以维吾尔族为主，部分汉族是来打工或者从事行政事业单位工作人员以及从商人员</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1</w:t>
      </w:r>
      <w:r>
        <w:rPr>
          <w:rFonts w:hint="eastAsia" w:ascii="仿宋" w:hAnsi="仿宋" w:eastAsia="仿宋"/>
          <w:b/>
          <w:bCs/>
          <w:spacing w:val="-4"/>
          <w:sz w:val="32"/>
          <w:szCs w:val="32"/>
        </w:rPr>
        <w:t>、项目预期目标及阶段性目标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萨罕乡拨付贫困村整治项目资金，通过鼓励有林果种植条件的村引领行业，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2</w:t>
      </w:r>
      <w:r>
        <w:rPr>
          <w:rFonts w:hint="eastAsia" w:ascii="仿宋" w:hAnsi="仿宋" w:eastAsia="仿宋"/>
          <w:b/>
          <w:bCs/>
          <w:spacing w:val="-4"/>
          <w:sz w:val="32"/>
          <w:szCs w:val="32"/>
        </w:rPr>
        <w:t>、项目基本性质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ascii="仿宋" w:hAnsi="仿宋" w:eastAsia="仿宋"/>
          <w:b/>
          <w:bCs/>
          <w:spacing w:val="-4"/>
          <w:sz w:val="32"/>
          <w:szCs w:val="32"/>
        </w:rPr>
        <w:t>3</w:t>
      </w:r>
      <w:r>
        <w:rPr>
          <w:rFonts w:hint="eastAsia" w:ascii="仿宋" w:hAnsi="仿宋" w:eastAsia="仿宋"/>
          <w:b/>
          <w:bCs/>
          <w:spacing w:val="-4"/>
          <w:sz w:val="32"/>
          <w:szCs w:val="32"/>
        </w:rPr>
        <w:t>、项目用途及范围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贫困村整治项目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英吉沙县萨罕乡贫困村整治项目预算安排总额为</w:t>
      </w:r>
      <w:r>
        <w:rPr>
          <w:rStyle w:val="18"/>
          <w:rFonts w:ascii="仿宋" w:hAnsi="仿宋" w:eastAsia="仿宋"/>
          <w:b w:val="0"/>
          <w:spacing w:val="-4"/>
          <w:sz w:val="32"/>
          <w:szCs w:val="32"/>
        </w:rPr>
        <w:t>6.9739</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6.9739</w:t>
      </w:r>
      <w:r>
        <w:rPr>
          <w:rStyle w:val="18"/>
          <w:rFonts w:hint="eastAsia" w:ascii="仿宋" w:hAnsi="仿宋" w:eastAsia="仿宋"/>
          <w:b w:val="0"/>
          <w:spacing w:val="-4"/>
          <w:sz w:val="32"/>
          <w:szCs w:val="32"/>
        </w:rPr>
        <w:t>万元，自筹资金</w:t>
      </w:r>
      <w:r>
        <w:rPr>
          <w:rStyle w:val="18"/>
          <w:rFonts w:ascii="仿宋" w:hAnsi="仿宋" w:eastAsia="仿宋"/>
          <w:b w:val="0"/>
          <w:spacing w:val="-4"/>
          <w:sz w:val="32"/>
          <w:szCs w:val="32"/>
        </w:rPr>
        <w:t>0</w:t>
      </w:r>
      <w:r>
        <w:rPr>
          <w:rStyle w:val="18"/>
          <w:rFonts w:hint="eastAsia" w:ascii="仿宋" w:hAnsi="仿宋" w:eastAsia="仿宋"/>
          <w:b w:val="0"/>
          <w:spacing w:val="-4"/>
          <w:sz w:val="32"/>
          <w:szCs w:val="32"/>
        </w:rPr>
        <w:t>万元，</w:t>
      </w:r>
      <w:r>
        <w:rPr>
          <w:rStyle w:val="18"/>
          <w:rFonts w:ascii="仿宋" w:hAnsi="仿宋" w:eastAsia="仿宋"/>
          <w:b w:val="0"/>
          <w:spacing w:val="-4"/>
          <w:sz w:val="32"/>
          <w:szCs w:val="32"/>
        </w:rPr>
        <w:t>2018</w:t>
      </w:r>
      <w:r>
        <w:rPr>
          <w:rStyle w:val="18"/>
          <w:rFonts w:hint="eastAsia" w:ascii="仿宋" w:hAnsi="仿宋" w:eastAsia="仿宋"/>
          <w:b w:val="0"/>
          <w:spacing w:val="-4"/>
          <w:sz w:val="32"/>
          <w:szCs w:val="32"/>
        </w:rPr>
        <w:t>年实际收到预算资金</w:t>
      </w:r>
      <w:r>
        <w:rPr>
          <w:rStyle w:val="18"/>
          <w:rFonts w:ascii="仿宋" w:hAnsi="仿宋" w:eastAsia="仿宋"/>
          <w:b w:val="0"/>
          <w:spacing w:val="-4"/>
          <w:sz w:val="32"/>
          <w:szCs w:val="32"/>
        </w:rPr>
        <w:t>6.9739</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6.9739</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w:t>
      </w:r>
      <w:r>
        <w:rPr>
          <w:rFonts w:ascii="仿宋" w:hAnsi="仿宋" w:eastAsia="仿宋"/>
          <w:bCs/>
          <w:spacing w:val="-4"/>
          <w:sz w:val="32"/>
          <w:szCs w:val="32"/>
        </w:rPr>
        <w:t>0</w:t>
      </w:r>
      <w:r>
        <w:rPr>
          <w:rFonts w:hint="eastAsia" w:ascii="仿宋" w:hAnsi="仿宋" w:eastAsia="仿宋"/>
          <w:bCs/>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萨罕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w:t>
      </w:r>
      <w:r>
        <w:rPr>
          <w:rStyle w:val="18"/>
          <w:rFonts w:ascii="仿宋" w:hAnsi="仿宋" w:eastAsia="仿宋"/>
          <w:b w:val="0"/>
          <w:spacing w:val="-4"/>
          <w:sz w:val="32"/>
          <w:szCs w:val="32"/>
        </w:rPr>
        <w:t>,</w:t>
      </w:r>
      <w:r>
        <w:rPr>
          <w:rStyle w:val="18"/>
          <w:rFonts w:hint="eastAsia" w:ascii="仿宋" w:hAnsi="仿宋" w:eastAsia="仿宋"/>
          <w:b w:val="0"/>
          <w:spacing w:val="-4"/>
          <w:sz w:val="32"/>
          <w:szCs w:val="32"/>
        </w:rPr>
        <w:t>由萨罕乡人民政府主管项目。实施过程均按照本单位制定的管理制度执行。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萨罕乡人民政府制定了英吉沙县萨罕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3</w:t>
      </w:r>
      <w:r>
        <w:rPr>
          <w:rFonts w:hint="eastAsia" w:ascii="仿宋" w:hAnsi="仿宋" w:eastAsia="仿宋"/>
          <w:bCs/>
          <w:spacing w:val="-4"/>
          <w:sz w:val="32"/>
          <w:szCs w:val="32"/>
        </w:rPr>
        <w:t>个，二级指标</w:t>
      </w:r>
      <w:r>
        <w:rPr>
          <w:rFonts w:ascii="仿宋" w:hAnsi="仿宋" w:eastAsia="仿宋"/>
          <w:bCs/>
          <w:spacing w:val="-4"/>
          <w:sz w:val="32"/>
          <w:szCs w:val="32"/>
        </w:rPr>
        <w:t>9</w:t>
      </w:r>
      <w:r>
        <w:rPr>
          <w:rFonts w:hint="eastAsia" w:ascii="仿宋" w:hAnsi="仿宋" w:eastAsia="仿宋"/>
          <w:bCs/>
          <w:spacing w:val="-4"/>
          <w:sz w:val="32"/>
          <w:szCs w:val="32"/>
        </w:rPr>
        <w:t>个，三级指标</w:t>
      </w:r>
      <w:r>
        <w:rPr>
          <w:rFonts w:ascii="仿宋" w:hAnsi="仿宋" w:eastAsia="仿宋"/>
          <w:bCs/>
          <w:spacing w:val="-4"/>
          <w:sz w:val="32"/>
          <w:szCs w:val="32"/>
        </w:rPr>
        <w:t>12</w:t>
      </w:r>
      <w:r>
        <w:rPr>
          <w:rFonts w:hint="eastAsia" w:ascii="仿宋" w:hAnsi="仿宋" w:eastAsia="仿宋"/>
          <w:bCs/>
          <w:spacing w:val="-4"/>
          <w:sz w:val="32"/>
          <w:szCs w:val="32"/>
        </w:rPr>
        <w:t>个，目前该项目已完成。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1</w:t>
      </w: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萨罕乡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微软雅黑"/>
    <w:panose1 w:val="00000000000000000000"/>
    <w:charset w:val="86"/>
    <w:family w:val="auto"/>
    <w:pitch w:val="default"/>
    <w:sig w:usb0="00000000" w:usb1="00000000" w:usb2="00000010" w:usb3="00000000" w:csb0="0004009F" w:csb1="00000000"/>
  </w:font>
  <w:font w:name="方正黑体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343E6"/>
    <w:rsid w:val="00044FC0"/>
    <w:rsid w:val="00104DCA"/>
    <w:rsid w:val="0012208E"/>
    <w:rsid w:val="00135256"/>
    <w:rsid w:val="001A4E1F"/>
    <w:rsid w:val="001A57B9"/>
    <w:rsid w:val="001C3847"/>
    <w:rsid w:val="001F3031"/>
    <w:rsid w:val="00210A26"/>
    <w:rsid w:val="00250778"/>
    <w:rsid w:val="00283184"/>
    <w:rsid w:val="002A2532"/>
    <w:rsid w:val="002A2D76"/>
    <w:rsid w:val="00304CD1"/>
    <w:rsid w:val="00365250"/>
    <w:rsid w:val="0036624C"/>
    <w:rsid w:val="00367255"/>
    <w:rsid w:val="0037491F"/>
    <w:rsid w:val="00385849"/>
    <w:rsid w:val="003A1EEB"/>
    <w:rsid w:val="00447ADE"/>
    <w:rsid w:val="004B2423"/>
    <w:rsid w:val="0050167F"/>
    <w:rsid w:val="00514506"/>
    <w:rsid w:val="005162F1"/>
    <w:rsid w:val="00516E80"/>
    <w:rsid w:val="00533F37"/>
    <w:rsid w:val="00535153"/>
    <w:rsid w:val="00557276"/>
    <w:rsid w:val="00575CFE"/>
    <w:rsid w:val="00583AFC"/>
    <w:rsid w:val="00592D09"/>
    <w:rsid w:val="0061503C"/>
    <w:rsid w:val="00675D58"/>
    <w:rsid w:val="006C6F07"/>
    <w:rsid w:val="006F05B3"/>
    <w:rsid w:val="006F2E6D"/>
    <w:rsid w:val="007218B8"/>
    <w:rsid w:val="007350AE"/>
    <w:rsid w:val="00755C6A"/>
    <w:rsid w:val="00785FDE"/>
    <w:rsid w:val="007A0351"/>
    <w:rsid w:val="007A14BC"/>
    <w:rsid w:val="007C0749"/>
    <w:rsid w:val="007C1025"/>
    <w:rsid w:val="007E6845"/>
    <w:rsid w:val="007F5F8A"/>
    <w:rsid w:val="00826CA1"/>
    <w:rsid w:val="0083551F"/>
    <w:rsid w:val="00835B7F"/>
    <w:rsid w:val="00855E3A"/>
    <w:rsid w:val="00860D13"/>
    <w:rsid w:val="008D462C"/>
    <w:rsid w:val="008E7BA0"/>
    <w:rsid w:val="00900D99"/>
    <w:rsid w:val="00922CB9"/>
    <w:rsid w:val="009350F7"/>
    <w:rsid w:val="00946B40"/>
    <w:rsid w:val="0095487B"/>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56C72"/>
    <w:rsid w:val="00CA6457"/>
    <w:rsid w:val="00CC6E4D"/>
    <w:rsid w:val="00D17F2E"/>
    <w:rsid w:val="00D46194"/>
    <w:rsid w:val="00D916E5"/>
    <w:rsid w:val="00DE10C1"/>
    <w:rsid w:val="00E01293"/>
    <w:rsid w:val="00E027D1"/>
    <w:rsid w:val="00E561D7"/>
    <w:rsid w:val="00E769FE"/>
    <w:rsid w:val="00EA2CBE"/>
    <w:rsid w:val="00EA78B6"/>
    <w:rsid w:val="00F32FEE"/>
    <w:rsid w:val="00F53E69"/>
    <w:rsid w:val="00F91847"/>
    <w:rsid w:val="00FB148A"/>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72014BD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qFormat="1" w:unhideWhenUsed="0" w:uiPriority="99"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qFormat/>
    <w:uiPriority w:val="99"/>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30"/>
    <w:semiHidden/>
    <w:qFormat/>
    <w:uiPriority w:val="99"/>
    <w:rPr>
      <w:rFonts w:ascii="宋体"/>
      <w:sz w:val="18"/>
      <w:szCs w:val="18"/>
    </w:rPr>
  </w:style>
  <w:style w:type="paragraph" w:styleId="12">
    <w:name w:val="Balloon Text"/>
    <w:basedOn w:val="1"/>
    <w:link w:val="31"/>
    <w:semiHidden/>
    <w:qFormat/>
    <w:uiPriority w:val="99"/>
    <w:rPr>
      <w:sz w:val="18"/>
      <w:szCs w:val="18"/>
    </w:rPr>
  </w:style>
  <w:style w:type="paragraph" w:styleId="13">
    <w:name w:val="footer"/>
    <w:basedOn w:val="1"/>
    <w:link w:val="32"/>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3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4"/>
    <w:qFormat/>
    <w:uiPriority w:val="99"/>
    <w:pPr>
      <w:widowControl/>
      <w:spacing w:after="60"/>
      <w:jc w:val="center"/>
      <w:outlineLvl w:val="1"/>
    </w:pPr>
    <w:rPr>
      <w:rFonts w:ascii="Cambria" w:hAnsi="Cambria"/>
      <w:kern w:val="0"/>
      <w:sz w:val="24"/>
    </w:rPr>
  </w:style>
  <w:style w:type="paragraph" w:styleId="16">
    <w:name w:val="Title"/>
    <w:basedOn w:val="1"/>
    <w:next w:val="1"/>
    <w:link w:val="35"/>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1">
    <w:name w:val="Heading 1 Char"/>
    <w:basedOn w:val="17"/>
    <w:link w:val="2"/>
    <w:locked/>
    <w:uiPriority w:val="99"/>
    <w:rPr>
      <w:rFonts w:ascii="Cambria" w:hAnsi="Cambria" w:eastAsia="宋体" w:cs="Times New Roman"/>
      <w:b/>
      <w:bCs/>
      <w:kern w:val="32"/>
      <w:sz w:val="32"/>
      <w:szCs w:val="32"/>
    </w:rPr>
  </w:style>
  <w:style w:type="character" w:customStyle="1" w:styleId="22">
    <w:name w:val="Heading 2 Char"/>
    <w:basedOn w:val="17"/>
    <w:link w:val="3"/>
    <w:semiHidden/>
    <w:locked/>
    <w:uiPriority w:val="99"/>
    <w:rPr>
      <w:rFonts w:ascii="Cambria" w:hAnsi="Cambria" w:eastAsia="宋体" w:cs="Times New Roman"/>
      <w:b/>
      <w:bCs/>
      <w:i/>
      <w:iCs/>
      <w:sz w:val="28"/>
      <w:szCs w:val="28"/>
    </w:rPr>
  </w:style>
  <w:style w:type="character" w:customStyle="1" w:styleId="23">
    <w:name w:val="Heading 3 Char"/>
    <w:basedOn w:val="17"/>
    <w:link w:val="4"/>
    <w:semiHidden/>
    <w:locked/>
    <w:uiPriority w:val="99"/>
    <w:rPr>
      <w:rFonts w:ascii="Cambria" w:hAnsi="Cambria" w:eastAsia="宋体" w:cs="Times New Roman"/>
      <w:b/>
      <w:bCs/>
      <w:sz w:val="26"/>
      <w:szCs w:val="26"/>
    </w:rPr>
  </w:style>
  <w:style w:type="character" w:customStyle="1" w:styleId="24">
    <w:name w:val="Heading 4 Char"/>
    <w:basedOn w:val="17"/>
    <w:link w:val="5"/>
    <w:semiHidden/>
    <w:locked/>
    <w:uiPriority w:val="99"/>
    <w:rPr>
      <w:rFonts w:cs="Times New Roman"/>
      <w:b/>
      <w:bCs/>
      <w:sz w:val="28"/>
      <w:szCs w:val="28"/>
    </w:rPr>
  </w:style>
  <w:style w:type="character" w:customStyle="1" w:styleId="25">
    <w:name w:val="Heading 5 Char"/>
    <w:basedOn w:val="17"/>
    <w:link w:val="6"/>
    <w:semiHidden/>
    <w:locked/>
    <w:uiPriority w:val="99"/>
    <w:rPr>
      <w:rFonts w:cs="Times New Roman"/>
      <w:b/>
      <w:bCs/>
      <w:i/>
      <w:iCs/>
      <w:sz w:val="26"/>
      <w:szCs w:val="26"/>
    </w:rPr>
  </w:style>
  <w:style w:type="character" w:customStyle="1" w:styleId="26">
    <w:name w:val="Heading 6 Char"/>
    <w:basedOn w:val="17"/>
    <w:link w:val="7"/>
    <w:semiHidden/>
    <w:locked/>
    <w:uiPriority w:val="99"/>
    <w:rPr>
      <w:rFonts w:cs="Times New Roman"/>
      <w:b/>
      <w:bCs/>
    </w:rPr>
  </w:style>
  <w:style w:type="character" w:customStyle="1" w:styleId="27">
    <w:name w:val="Heading 7 Char"/>
    <w:basedOn w:val="17"/>
    <w:link w:val="8"/>
    <w:semiHidden/>
    <w:qFormat/>
    <w:locked/>
    <w:uiPriority w:val="99"/>
    <w:rPr>
      <w:rFonts w:cs="Times New Roman"/>
      <w:sz w:val="24"/>
      <w:szCs w:val="24"/>
    </w:rPr>
  </w:style>
  <w:style w:type="character" w:customStyle="1" w:styleId="28">
    <w:name w:val="Heading 8 Char"/>
    <w:basedOn w:val="17"/>
    <w:link w:val="9"/>
    <w:semiHidden/>
    <w:qFormat/>
    <w:locked/>
    <w:uiPriority w:val="99"/>
    <w:rPr>
      <w:rFonts w:cs="Times New Roman"/>
      <w:i/>
      <w:iCs/>
      <w:sz w:val="24"/>
      <w:szCs w:val="24"/>
    </w:rPr>
  </w:style>
  <w:style w:type="character" w:customStyle="1" w:styleId="29">
    <w:name w:val="Heading 9 Char"/>
    <w:basedOn w:val="17"/>
    <w:link w:val="10"/>
    <w:semiHidden/>
    <w:qFormat/>
    <w:locked/>
    <w:uiPriority w:val="99"/>
    <w:rPr>
      <w:rFonts w:ascii="Cambria" w:hAnsi="Cambria" w:eastAsia="宋体" w:cs="Times New Roman"/>
    </w:rPr>
  </w:style>
  <w:style w:type="character" w:customStyle="1" w:styleId="30">
    <w:name w:val="Document Map Char"/>
    <w:basedOn w:val="17"/>
    <w:link w:val="11"/>
    <w:semiHidden/>
    <w:qFormat/>
    <w:locked/>
    <w:uiPriority w:val="99"/>
    <w:rPr>
      <w:rFonts w:ascii="宋体" w:hAnsi="Times New Roman" w:eastAsia="宋体" w:cs="Times New Roman"/>
      <w:kern w:val="2"/>
      <w:sz w:val="18"/>
      <w:szCs w:val="18"/>
    </w:rPr>
  </w:style>
  <w:style w:type="character" w:customStyle="1" w:styleId="31">
    <w:name w:val="Balloon Text Char"/>
    <w:basedOn w:val="17"/>
    <w:link w:val="12"/>
    <w:semiHidden/>
    <w:qFormat/>
    <w:locked/>
    <w:uiPriority w:val="99"/>
    <w:rPr>
      <w:rFonts w:ascii="Times New Roman" w:hAnsi="Times New Roman" w:eastAsia="宋体" w:cs="Times New Roman"/>
      <w:kern w:val="2"/>
      <w:sz w:val="18"/>
      <w:szCs w:val="18"/>
    </w:rPr>
  </w:style>
  <w:style w:type="character" w:customStyle="1" w:styleId="32">
    <w:name w:val="Footer Char"/>
    <w:basedOn w:val="17"/>
    <w:link w:val="13"/>
    <w:locked/>
    <w:uiPriority w:val="99"/>
    <w:rPr>
      <w:rFonts w:ascii="Calibri" w:hAnsi="Calibri" w:eastAsia="宋体" w:cs="Times New Roman"/>
      <w:kern w:val="2"/>
      <w:sz w:val="18"/>
      <w:szCs w:val="18"/>
    </w:rPr>
  </w:style>
  <w:style w:type="character" w:customStyle="1" w:styleId="33">
    <w:name w:val="Header Char"/>
    <w:basedOn w:val="17"/>
    <w:link w:val="14"/>
    <w:qFormat/>
    <w:locked/>
    <w:uiPriority w:val="99"/>
    <w:rPr>
      <w:rFonts w:ascii="Calibri" w:hAnsi="Calibri" w:eastAsia="宋体" w:cs="Times New Roman"/>
      <w:kern w:val="2"/>
      <w:sz w:val="18"/>
      <w:szCs w:val="18"/>
    </w:rPr>
  </w:style>
  <w:style w:type="character" w:customStyle="1" w:styleId="34">
    <w:name w:val="Subtitle Char"/>
    <w:basedOn w:val="17"/>
    <w:link w:val="15"/>
    <w:locked/>
    <w:uiPriority w:val="99"/>
    <w:rPr>
      <w:rFonts w:ascii="Cambria" w:hAnsi="Cambria" w:eastAsia="宋体" w:cs="Times New Roman"/>
      <w:sz w:val="24"/>
      <w:szCs w:val="24"/>
    </w:rPr>
  </w:style>
  <w:style w:type="character" w:customStyle="1" w:styleId="35">
    <w:name w:val="Title Char"/>
    <w:basedOn w:val="17"/>
    <w:link w:val="16"/>
    <w:qFormat/>
    <w:locked/>
    <w:uiPriority w:val="99"/>
    <w:rPr>
      <w:rFonts w:ascii="Cambria" w:hAnsi="Cambria" w:eastAsia="宋体" w:cs="Times New Roman"/>
      <w:b/>
      <w:bCs/>
      <w:kern w:val="28"/>
      <w:sz w:val="32"/>
      <w:szCs w:val="32"/>
    </w:rPr>
  </w:style>
  <w:style w:type="paragraph" w:styleId="36">
    <w:name w:val="No Spacing"/>
    <w:basedOn w:val="1"/>
    <w:qFormat/>
    <w:uiPriority w:val="99"/>
    <w:pPr>
      <w:widowControl/>
      <w:jc w:val="left"/>
    </w:pPr>
    <w:rPr>
      <w:rFonts w:ascii="Calibri" w:hAnsi="Calibri"/>
      <w:kern w:val="0"/>
      <w:sz w:val="24"/>
      <w:szCs w:val="32"/>
      <w:lang w:eastAsia="en-US"/>
    </w:rPr>
  </w:style>
  <w:style w:type="paragraph" w:styleId="37">
    <w:name w:val="List Paragraph"/>
    <w:basedOn w:val="1"/>
    <w:qFormat/>
    <w:uiPriority w:val="99"/>
    <w:pPr>
      <w:widowControl/>
      <w:ind w:left="720"/>
      <w:contextualSpacing/>
      <w:jc w:val="left"/>
    </w:pPr>
    <w:rPr>
      <w:rFonts w:ascii="Calibri" w:hAnsi="Calibri"/>
      <w:kern w:val="0"/>
      <w:sz w:val="24"/>
      <w:lang w:eastAsia="en-US"/>
    </w:rPr>
  </w:style>
  <w:style w:type="paragraph" w:styleId="38">
    <w:name w:val="Quote"/>
    <w:basedOn w:val="1"/>
    <w:next w:val="1"/>
    <w:link w:val="39"/>
    <w:qFormat/>
    <w:uiPriority w:val="99"/>
    <w:pPr>
      <w:widowControl/>
      <w:jc w:val="left"/>
    </w:pPr>
    <w:rPr>
      <w:rFonts w:ascii="Calibri" w:hAnsi="Calibri"/>
      <w:i/>
      <w:kern w:val="0"/>
      <w:sz w:val="24"/>
    </w:rPr>
  </w:style>
  <w:style w:type="character" w:customStyle="1" w:styleId="39">
    <w:name w:val="Quote Char"/>
    <w:basedOn w:val="17"/>
    <w:link w:val="38"/>
    <w:locked/>
    <w:uiPriority w:val="99"/>
    <w:rPr>
      <w:rFonts w:cs="Times New Roman"/>
      <w:i/>
      <w:sz w:val="24"/>
      <w:szCs w:val="24"/>
    </w:rPr>
  </w:style>
  <w:style w:type="paragraph" w:styleId="40">
    <w:name w:val="Intense Quote"/>
    <w:basedOn w:val="1"/>
    <w:next w:val="1"/>
    <w:link w:val="41"/>
    <w:qFormat/>
    <w:uiPriority w:val="99"/>
    <w:pPr>
      <w:widowControl/>
      <w:ind w:left="720" w:right="720"/>
      <w:jc w:val="left"/>
    </w:pPr>
    <w:rPr>
      <w:rFonts w:ascii="Calibri" w:hAnsi="Calibri"/>
      <w:b/>
      <w:i/>
      <w:kern w:val="0"/>
      <w:sz w:val="24"/>
      <w:szCs w:val="22"/>
    </w:rPr>
  </w:style>
  <w:style w:type="character" w:customStyle="1" w:styleId="41">
    <w:name w:val="Intense Quote Char"/>
    <w:basedOn w:val="17"/>
    <w:link w:val="40"/>
    <w:qFormat/>
    <w:locked/>
    <w:uiPriority w:val="99"/>
    <w:rPr>
      <w:rFonts w:cs="Times New Roman"/>
      <w:b/>
      <w:i/>
      <w:sz w:val="24"/>
    </w:rPr>
  </w:style>
  <w:style w:type="character" w:customStyle="1" w:styleId="42">
    <w:name w:val="不明显强调1"/>
    <w:qFormat/>
    <w:uiPriority w:val="99"/>
    <w:rPr>
      <w:i/>
      <w:color w:val="5A5A5A"/>
    </w:rPr>
  </w:style>
  <w:style w:type="character" w:customStyle="1" w:styleId="43">
    <w:name w:val="明显强调1"/>
    <w:basedOn w:val="17"/>
    <w:qFormat/>
    <w:uiPriority w:val="99"/>
    <w:rPr>
      <w:rFonts w:cs="Times New Roman"/>
      <w:b/>
      <w:i/>
      <w:sz w:val="24"/>
      <w:szCs w:val="24"/>
      <w:u w:val="single"/>
    </w:rPr>
  </w:style>
  <w:style w:type="character" w:customStyle="1" w:styleId="44">
    <w:name w:val="不明显参考1"/>
    <w:basedOn w:val="17"/>
    <w:qFormat/>
    <w:uiPriority w:val="99"/>
    <w:rPr>
      <w:rFonts w:cs="Times New Roman"/>
      <w:sz w:val="24"/>
      <w:szCs w:val="24"/>
      <w:u w:val="single"/>
    </w:rPr>
  </w:style>
  <w:style w:type="character" w:customStyle="1" w:styleId="45">
    <w:name w:val="明显参考1"/>
    <w:basedOn w:val="17"/>
    <w:uiPriority w:val="99"/>
    <w:rPr>
      <w:rFonts w:cs="Times New Roman"/>
      <w:b/>
      <w:sz w:val="24"/>
      <w:u w:val="single"/>
    </w:rPr>
  </w:style>
  <w:style w:type="character" w:customStyle="1" w:styleId="46">
    <w:name w:val="书籍标题1"/>
    <w:basedOn w:val="17"/>
    <w:qFormat/>
    <w:uiPriority w:val="99"/>
    <w:rPr>
      <w:rFonts w:ascii="Cambria" w:hAnsi="Cambria" w:eastAsia="宋体" w:cs="Times New Roman"/>
      <w:b/>
      <w:i/>
      <w:sz w:val="24"/>
      <w:szCs w:val="24"/>
    </w:rPr>
  </w:style>
  <w:style w:type="paragraph" w:customStyle="1" w:styleId="47">
    <w:name w:val="TOC 标题1"/>
    <w:basedOn w:val="2"/>
    <w:next w:val="1"/>
    <w:semiHidden/>
    <w:qFormat/>
    <w:uiPriority w:val="99"/>
    <w:pPr>
      <w:outlineLvl w:val="9"/>
    </w:pPr>
    <w:rPr>
      <w:lang w:eastAsia="en-US"/>
    </w:rPr>
  </w:style>
  <w:style w:type="paragraph" w:customStyle="1" w:styleId="48">
    <w:name w:val="正文 A"/>
    <w:qFormat/>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5</Pages>
  <Words>251</Words>
  <Characters>1433</Characters>
  <Lines>0</Lines>
  <Paragraphs>0</Paragraphs>
  <TotalTime>57</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2019-09-16T11:28:52Z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